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90</w:t>
      </w:r>
      <w:r w:rsidR="00203E74">
        <w:rPr>
          <w:b/>
          <w:noProof/>
          <w:sz w:val="24"/>
        </w:rPr>
        <w:t>-e</w:t>
      </w:r>
      <w:r w:rsidR="00D31D1B">
        <w:rPr>
          <w:b/>
          <w:i/>
          <w:noProof/>
          <w:sz w:val="28"/>
        </w:rPr>
        <w:tab/>
      </w:r>
      <w:r w:rsidR="00C240F3">
        <w:rPr>
          <w:b/>
          <w:noProof/>
          <w:sz w:val="28"/>
        </w:rPr>
        <w:t>R5-</w:t>
      </w:r>
      <w:r w:rsidR="00B232B0">
        <w:rPr>
          <w:b/>
          <w:noProof/>
          <w:sz w:val="28"/>
        </w:rPr>
        <w:t>2</w:t>
      </w:r>
      <w:r w:rsidR="00E40E6B">
        <w:rPr>
          <w:b/>
          <w:noProof/>
          <w:sz w:val="28"/>
        </w:rPr>
        <w:t>1</w:t>
      </w:r>
      <w:r w:rsidR="001705DB">
        <w:rPr>
          <w:b/>
          <w:noProof/>
          <w:sz w:val="28"/>
        </w:rPr>
        <w:t>0317</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r w:rsidR="00E40E6B">
        <w:rPr>
          <w:b/>
          <w:noProof/>
          <w:sz w:val="24"/>
        </w:rPr>
        <w:t xml:space="preserve">22nd February - </w:t>
      </w:r>
      <w:r w:rsidR="00E40E6B">
        <w:rPr>
          <w:b/>
          <w:noProof/>
          <w:sz w:val="24"/>
        </w:rPr>
        <w:fldChar w:fldCharType="begin"/>
      </w:r>
      <w:r w:rsidR="00E40E6B">
        <w:rPr>
          <w:b/>
          <w:noProof/>
          <w:sz w:val="24"/>
        </w:rPr>
        <w:instrText xml:space="preserve"> DOCPROPERTY  EndDate  \* MERGEFORMAT </w:instrText>
      </w:r>
      <w:r w:rsidR="00E40E6B">
        <w:rPr>
          <w:b/>
          <w:noProof/>
          <w:sz w:val="24"/>
        </w:rPr>
        <w:fldChar w:fldCharType="separate"/>
      </w:r>
      <w:r w:rsidR="00E40E6B">
        <w:rPr>
          <w:b/>
          <w:noProof/>
          <w:sz w:val="24"/>
        </w:rPr>
        <w:t>5th March</w:t>
      </w:r>
      <w:r w:rsidR="00E40E6B" w:rsidRPr="00BA51D9">
        <w:rPr>
          <w:b/>
          <w:noProof/>
          <w:sz w:val="24"/>
        </w:rPr>
        <w:t xml:space="preserve"> 20</w:t>
      </w:r>
      <w:r w:rsidR="00E40E6B">
        <w:rPr>
          <w:b/>
          <w:noProof/>
          <w:sz w:val="24"/>
        </w:rPr>
        <w:t>21</w:t>
      </w:r>
      <w:r w:rsidR="00E40E6B">
        <w:rPr>
          <w:b/>
          <w:noProof/>
          <w:sz w:val="24"/>
        </w:rPr>
        <w:fldChar w:fldCharType="end"/>
      </w:r>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C240F3" w:rsidRPr="002C05E7">
        <w:rPr>
          <w:rFonts w:ascii="Arial" w:eastAsia="Batang" w:hAnsi="Arial"/>
          <w:b/>
          <w:lang w:val="en-US" w:eastAsia="zh-CN"/>
        </w:rPr>
        <w:t>Rohde &amp; Schwarz</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7D5D">
        <w:rPr>
          <w:rFonts w:ascii="Arial" w:eastAsia="Batang" w:hAnsi="Arial" w:cs="Arial"/>
          <w:b/>
          <w:lang w:eastAsia="zh-CN"/>
        </w:rPr>
        <w:t xml:space="preserve">Discussion paper on </w:t>
      </w:r>
      <w:r w:rsidR="001705DB">
        <w:rPr>
          <w:rFonts w:ascii="Arial" w:eastAsia="Batang" w:hAnsi="Arial" w:cs="Arial"/>
          <w:b/>
          <w:lang w:eastAsia="zh-CN"/>
        </w:rPr>
        <w:t xml:space="preserve">IMS over 5GS </w:t>
      </w:r>
      <w:r w:rsidR="00082D26">
        <w:rPr>
          <w:rFonts w:ascii="Arial" w:eastAsia="Batang" w:hAnsi="Arial" w:cs="Arial"/>
          <w:b/>
          <w:lang w:eastAsia="zh-CN"/>
        </w:rPr>
        <w:t>test case 7.3 regarding flexible use of preconditions</w:t>
      </w:r>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Heading2"/>
        <w:rPr>
          <w:lang w:eastAsia="en-GB"/>
        </w:rPr>
      </w:pPr>
      <w:r>
        <w:t>1.</w:t>
      </w:r>
      <w:r>
        <w:tab/>
      </w:r>
      <w:r w:rsidR="00D31D1B">
        <w:t>Introduction</w:t>
      </w:r>
    </w:p>
    <w:p w:rsidR="005F181E" w:rsidRPr="00052776" w:rsidRDefault="00082D26" w:rsidP="005F181E">
      <w:pPr>
        <w:rPr>
          <w:rFonts w:ascii="Arial" w:hAnsi="Arial" w:cs="Arial"/>
          <w:lang w:val="en-US"/>
        </w:rPr>
      </w:pPr>
      <w:r>
        <w:rPr>
          <w:rFonts w:ascii="Arial" w:hAnsi="Arial" w:cs="Arial"/>
          <w:lang w:val="en-US"/>
        </w:rPr>
        <w:t xml:space="preserve">IMS over 5GS test case 7.3 had been added via R5-206379 as the Work Plan demanded it. </w:t>
      </w:r>
      <w:r w:rsidR="0098542E">
        <w:rPr>
          <w:rFonts w:ascii="Arial" w:hAnsi="Arial" w:cs="Arial"/>
          <w:lang w:val="en-US"/>
        </w:rPr>
        <w:t xml:space="preserve">Now that the test case </w:t>
      </w:r>
      <w:r w:rsidR="001705DB">
        <w:rPr>
          <w:rFonts w:ascii="Arial" w:hAnsi="Arial" w:cs="Arial"/>
          <w:lang w:val="en-US"/>
        </w:rPr>
        <w:t xml:space="preserve">is complete in prose, see TS 34.229-5, and </w:t>
      </w:r>
      <w:r w:rsidR="0098542E">
        <w:rPr>
          <w:rFonts w:ascii="Arial" w:hAnsi="Arial" w:cs="Arial"/>
          <w:lang w:val="en-US"/>
        </w:rPr>
        <w:t>is implemented</w:t>
      </w:r>
      <w:r w:rsidR="001705DB">
        <w:rPr>
          <w:rFonts w:ascii="Arial" w:hAnsi="Arial" w:cs="Arial"/>
          <w:lang w:val="en-US"/>
        </w:rPr>
        <w:t xml:space="preserve"> in TTCN</w:t>
      </w:r>
      <w:r w:rsidR="0098542E">
        <w:rPr>
          <w:rFonts w:ascii="Arial" w:hAnsi="Arial" w:cs="Arial"/>
          <w:lang w:val="en-US"/>
        </w:rPr>
        <w:t xml:space="preserve">, </w:t>
      </w:r>
      <w:r w:rsidR="004E322B">
        <w:rPr>
          <w:rFonts w:ascii="Arial" w:hAnsi="Arial" w:cs="Arial"/>
          <w:lang w:val="en-US"/>
        </w:rPr>
        <w:t>d</w:t>
      </w:r>
      <w:r>
        <w:rPr>
          <w:rFonts w:ascii="Arial" w:hAnsi="Arial" w:cs="Arial"/>
          <w:lang w:val="en-US"/>
        </w:rPr>
        <w:t>iscussions with UE vendors suggest that the underlying scenario is not supported and might not be realistic.</w:t>
      </w:r>
    </w:p>
    <w:p w:rsidR="00D31D1B" w:rsidRDefault="009235D5" w:rsidP="009235D5">
      <w:pPr>
        <w:pStyle w:val="Heading2"/>
      </w:pPr>
      <w:r>
        <w:t>2.</w:t>
      </w:r>
      <w:r>
        <w:tab/>
      </w:r>
      <w:r w:rsidR="00D43C1B">
        <w:t>Discussion</w:t>
      </w:r>
    </w:p>
    <w:p w:rsidR="005F5ACC" w:rsidRDefault="00052776" w:rsidP="00E40E6B">
      <w:pPr>
        <w:rPr>
          <w:rFonts w:ascii="Arial" w:hAnsi="Arial" w:cs="Arial"/>
          <w:lang w:val="en-US"/>
        </w:rPr>
      </w:pPr>
      <w:r>
        <w:rPr>
          <w:rFonts w:ascii="Arial" w:hAnsi="Arial" w:cs="Arial"/>
          <w:lang w:val="en-US"/>
        </w:rPr>
        <w:t>T</w:t>
      </w:r>
      <w:r w:rsidR="004E322B">
        <w:rPr>
          <w:rFonts w:ascii="Arial" w:hAnsi="Arial" w:cs="Arial"/>
          <w:lang w:val="en-US"/>
        </w:rPr>
        <w:t>est case 7.3 assumes that the UE supports preconditions and that the precondition mechanism is enabled. The test case then exercises the scenario where the UE nonetheless does not use preconditions in an MO INVITE request.While such scenario sounds unrealistic, TS 24.229 cl 5.1.3.1 explicitly lists it:</w:t>
      </w:r>
    </w:p>
    <w:p w:rsidR="004E322B" w:rsidRPr="004E322B" w:rsidRDefault="004E322B" w:rsidP="004E322B">
      <w:pPr>
        <w:overflowPunct/>
        <w:spacing w:after="0"/>
        <w:ind w:left="720"/>
        <w:textAlignment w:val="auto"/>
        <w:rPr>
          <w:color w:val="000000"/>
          <w:lang w:val="en-US" w:eastAsia="en-US"/>
        </w:rPr>
      </w:pPr>
      <w:r w:rsidRPr="004E322B">
        <w:rPr>
          <w:color w:val="000000"/>
          <w:lang w:val="en-US" w:eastAsia="en-US"/>
        </w:rPr>
        <w:t xml:space="preserve">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 </w:t>
      </w:r>
    </w:p>
    <w:p w:rsidR="004E322B" w:rsidRPr="004E322B" w:rsidRDefault="004E322B" w:rsidP="004E322B">
      <w:pPr>
        <w:overflowPunct/>
        <w:spacing w:after="0"/>
        <w:ind w:left="720"/>
        <w:textAlignment w:val="auto"/>
        <w:rPr>
          <w:color w:val="000000"/>
          <w:lang w:val="en-US" w:eastAsia="en-US"/>
        </w:rPr>
      </w:pPr>
      <w:r w:rsidRPr="004E322B">
        <w:rPr>
          <w:color w:val="000000"/>
          <w:lang w:val="en-US" w:eastAsia="en-US"/>
        </w:rPr>
        <w:t xml:space="preserve">- send a new INVITE request using the precondition mechanism; and </w:t>
      </w:r>
    </w:p>
    <w:p w:rsidR="004E322B" w:rsidRDefault="004E322B" w:rsidP="004E322B">
      <w:pPr>
        <w:ind w:left="720"/>
        <w:rPr>
          <w:rFonts w:ascii="Arial" w:hAnsi="Arial" w:cs="Arial"/>
          <w:lang w:val="en-US"/>
        </w:rPr>
      </w:pPr>
      <w:r w:rsidRPr="004E322B">
        <w:rPr>
          <w:color w:val="000000"/>
          <w:lang w:val="en-US" w:eastAsia="en-US"/>
        </w:rPr>
        <w:t xml:space="preserve">- send an UPDATE request as soon as the necessary resources are available and a 200 (OK) response for the first PRACK request has been received. </w:t>
      </w:r>
    </w:p>
    <w:p w:rsidR="004E322B" w:rsidRDefault="00F97B96" w:rsidP="00E40E6B">
      <w:pPr>
        <w:rPr>
          <w:rFonts w:ascii="Arial" w:hAnsi="Arial" w:cs="Arial"/>
          <w:lang w:val="en-US"/>
        </w:rPr>
      </w:pPr>
      <w:r>
        <w:rPr>
          <w:rFonts w:ascii="Arial" w:hAnsi="Arial" w:cs="Arial"/>
          <w:lang w:val="en-US"/>
        </w:rPr>
        <w:t>Our reading of the above phrase is that UEs will encounter scenarios where they better not use preconditions although they are ready to use them. This made us include the test case in the Work Plan.</w:t>
      </w:r>
    </w:p>
    <w:p w:rsidR="00F97B96" w:rsidRDefault="00F97B96" w:rsidP="00E40E6B">
      <w:pPr>
        <w:rPr>
          <w:rFonts w:ascii="Arial" w:hAnsi="Arial" w:cs="Arial"/>
          <w:lang w:val="en-US"/>
        </w:rPr>
      </w:pPr>
      <w:r>
        <w:rPr>
          <w:rFonts w:ascii="Arial" w:hAnsi="Arial" w:cs="Arial"/>
          <w:lang w:val="en-US"/>
        </w:rPr>
        <w:t>Let us take a look at the three levels of readiness regarding preconditions:</w:t>
      </w:r>
    </w:p>
    <w:p w:rsidR="00F97B96" w:rsidRPr="00F97B96" w:rsidRDefault="00F97B96" w:rsidP="00F97B96">
      <w:pPr>
        <w:pStyle w:val="ListParagraph"/>
        <w:numPr>
          <w:ilvl w:val="0"/>
          <w:numId w:val="4"/>
        </w:numPr>
        <w:rPr>
          <w:rFonts w:ascii="Arial" w:hAnsi="Arial" w:cs="Arial"/>
          <w:sz w:val="20"/>
          <w:szCs w:val="20"/>
          <w:lang w:val="en-US"/>
        </w:rPr>
      </w:pPr>
      <w:r w:rsidRPr="00F97B96">
        <w:rPr>
          <w:rFonts w:ascii="Arial" w:hAnsi="Arial" w:cs="Arial"/>
          <w:sz w:val="20"/>
          <w:szCs w:val="20"/>
          <w:lang w:val="en-US"/>
        </w:rPr>
        <w:t xml:space="preserve">The UE </w:t>
      </w:r>
      <w:r w:rsidRPr="00F97B96">
        <w:rPr>
          <w:rFonts w:ascii="Arial" w:hAnsi="Arial" w:cs="Arial"/>
          <w:color w:val="000000"/>
          <w:sz w:val="20"/>
          <w:szCs w:val="20"/>
          <w:shd w:val="clear" w:color="auto" w:fill="FFFFFF"/>
        </w:rPr>
        <w:t>supports or does not support preconditions.</w:t>
      </w:r>
    </w:p>
    <w:p w:rsidR="00F97B96" w:rsidRPr="00F97B96" w:rsidRDefault="00F97B96" w:rsidP="00F97B96">
      <w:pPr>
        <w:pStyle w:val="ListParagraph"/>
        <w:numPr>
          <w:ilvl w:val="0"/>
          <w:numId w:val="4"/>
        </w:numPr>
        <w:rPr>
          <w:rFonts w:ascii="Arial" w:hAnsi="Arial" w:cs="Arial"/>
          <w:sz w:val="20"/>
          <w:szCs w:val="20"/>
          <w:lang w:val="en-US"/>
        </w:rPr>
      </w:pPr>
      <w:r w:rsidRPr="00F97B96">
        <w:rPr>
          <w:rFonts w:ascii="Arial" w:hAnsi="Arial" w:cs="Arial"/>
          <w:color w:val="000000"/>
          <w:sz w:val="20"/>
          <w:szCs w:val="20"/>
          <w:shd w:val="clear" w:color="auto" w:fill="FFFFFF"/>
        </w:rPr>
        <w:t>Preconditions are enabled by the operator or not.</w:t>
      </w:r>
    </w:p>
    <w:p w:rsidR="00F97B96" w:rsidRPr="00F97B96" w:rsidRDefault="00F97B96" w:rsidP="00F97B96">
      <w:pPr>
        <w:pStyle w:val="ListParagraph"/>
        <w:numPr>
          <w:ilvl w:val="0"/>
          <w:numId w:val="4"/>
        </w:numPr>
        <w:rPr>
          <w:rFonts w:ascii="Arial" w:hAnsi="Arial" w:cs="Arial"/>
          <w:sz w:val="20"/>
          <w:szCs w:val="20"/>
          <w:lang w:val="en-US"/>
        </w:rPr>
      </w:pPr>
      <w:r w:rsidRPr="00F97B96">
        <w:rPr>
          <w:rFonts w:ascii="Arial" w:hAnsi="Arial" w:cs="Arial"/>
          <w:color w:val="000000"/>
          <w:sz w:val="20"/>
          <w:szCs w:val="20"/>
          <w:shd w:val="clear" w:color="auto" w:fill="FFFFFF"/>
        </w:rPr>
        <w:t>The UE then actually uses preconditions or not, e.g., in an MO INVITE</w:t>
      </w:r>
    </w:p>
    <w:p w:rsidR="00F97B96" w:rsidRDefault="00082D26" w:rsidP="00F97B96">
      <w:pPr>
        <w:rPr>
          <w:rFonts w:ascii="Arial" w:hAnsi="Arial" w:cs="Arial"/>
          <w:color w:val="000000"/>
          <w:shd w:val="clear" w:color="auto" w:fill="FFFFFF"/>
        </w:rPr>
      </w:pPr>
      <w:r>
        <w:rPr>
          <w:rFonts w:ascii="Arial" w:hAnsi="Arial" w:cs="Arial"/>
          <w:color w:val="000000"/>
          <w:sz w:val="18"/>
          <w:szCs w:val="18"/>
        </w:rPr>
        <w:br/>
      </w:r>
      <w:r w:rsidRPr="00F97B96">
        <w:rPr>
          <w:rFonts w:ascii="Arial" w:hAnsi="Arial" w:cs="Arial"/>
          <w:color w:val="000000"/>
          <w:shd w:val="clear" w:color="auto" w:fill="FFFFFF"/>
        </w:rPr>
        <w:t>Elaborations on 1 to 3:</w:t>
      </w:r>
    </w:p>
    <w:p w:rsidR="00F97B96" w:rsidRDefault="00082D26" w:rsidP="00F97B96">
      <w:pPr>
        <w:ind w:left="720"/>
        <w:rPr>
          <w:rFonts w:ascii="Arial" w:hAnsi="Arial" w:cs="Arial"/>
          <w:color w:val="000000"/>
          <w:shd w:val="clear" w:color="auto" w:fill="FFFFFF"/>
        </w:rPr>
      </w:pPr>
      <w:r w:rsidRPr="00F97B96">
        <w:rPr>
          <w:rFonts w:ascii="Arial" w:hAnsi="Arial" w:cs="Arial"/>
          <w:color w:val="000000"/>
        </w:rPr>
        <w:br/>
      </w:r>
      <w:r w:rsidR="00F97B96">
        <w:rPr>
          <w:rFonts w:ascii="Arial" w:hAnsi="Arial" w:cs="Arial"/>
          <w:color w:val="000000"/>
          <w:shd w:val="clear" w:color="auto" w:fill="FFFFFF"/>
        </w:rPr>
        <w:t xml:space="preserve">Ad </w:t>
      </w:r>
      <w:r w:rsidRPr="00F97B96">
        <w:rPr>
          <w:rFonts w:ascii="Arial" w:hAnsi="Arial" w:cs="Arial"/>
          <w:color w:val="000000"/>
          <w:shd w:val="clear" w:color="auto" w:fill="FFFFFF"/>
        </w:rPr>
        <w:t>1</w:t>
      </w:r>
      <w:r w:rsidR="00F97B96">
        <w:rPr>
          <w:rFonts w:ascii="Arial" w:hAnsi="Arial" w:cs="Arial"/>
          <w:color w:val="000000"/>
          <w:shd w:val="clear" w:color="auto" w:fill="FFFFFF"/>
        </w:rPr>
        <w:t>)</w:t>
      </w:r>
      <w:r w:rsidRPr="00F97B96">
        <w:rPr>
          <w:rFonts w:ascii="Arial" w:hAnsi="Arial" w:cs="Arial"/>
          <w:color w:val="000000"/>
          <w:shd w:val="clear" w:color="auto" w:fill="FFFFFF"/>
        </w:rPr>
        <w:t xml:space="preserve"> This is determined by the software code of the UE, if it can handle preconditions or not.</w:t>
      </w:r>
      <w:r w:rsidR="00BC6D4A">
        <w:rPr>
          <w:rFonts w:ascii="Arial" w:hAnsi="Arial" w:cs="Arial"/>
          <w:color w:val="000000"/>
          <w:shd w:val="clear" w:color="auto" w:fill="FFFFFF"/>
        </w:rPr>
        <w:t xml:space="preserve"> The test case at hand assumes that the UE implemented preconditions.</w:t>
      </w:r>
    </w:p>
    <w:p w:rsidR="00F97B96" w:rsidRDefault="00082D26" w:rsidP="00F97B96">
      <w:pPr>
        <w:ind w:left="720"/>
        <w:rPr>
          <w:rFonts w:ascii="Arial" w:hAnsi="Arial" w:cs="Arial"/>
          <w:color w:val="000000"/>
          <w:shd w:val="clear" w:color="auto" w:fill="FFFFFF"/>
        </w:rPr>
      </w:pPr>
      <w:r w:rsidRPr="00F97B96">
        <w:rPr>
          <w:rFonts w:ascii="Arial" w:hAnsi="Arial" w:cs="Arial"/>
          <w:color w:val="000000"/>
        </w:rPr>
        <w:br/>
      </w:r>
      <w:r w:rsidR="00F97B96">
        <w:rPr>
          <w:rFonts w:ascii="Arial" w:hAnsi="Arial" w:cs="Arial"/>
          <w:color w:val="000000"/>
          <w:shd w:val="clear" w:color="auto" w:fill="FFFFFF"/>
        </w:rPr>
        <w:t xml:space="preserve">Ad </w:t>
      </w:r>
      <w:r w:rsidRPr="00F97B96">
        <w:rPr>
          <w:rFonts w:ascii="Arial" w:hAnsi="Arial" w:cs="Arial"/>
          <w:color w:val="000000"/>
          <w:shd w:val="clear" w:color="auto" w:fill="FFFFFF"/>
        </w:rPr>
        <w:t>2</w:t>
      </w:r>
      <w:r w:rsidR="00F97B96">
        <w:rPr>
          <w:rFonts w:ascii="Arial" w:hAnsi="Arial" w:cs="Arial"/>
          <w:color w:val="000000"/>
          <w:shd w:val="clear" w:color="auto" w:fill="FFFFFF"/>
        </w:rPr>
        <w:t>)</w:t>
      </w:r>
      <w:r w:rsidRPr="00F97B96">
        <w:rPr>
          <w:rFonts w:ascii="Arial" w:hAnsi="Arial" w:cs="Arial"/>
          <w:color w:val="000000"/>
          <w:shd w:val="clear" w:color="auto" w:fill="FFFFFF"/>
        </w:rPr>
        <w:t xml:space="preserve"> There are several means to enable or disable preconditions: SIM card (</w:t>
      </w:r>
      <w:r w:rsidR="00F97B96">
        <w:rPr>
          <w:rFonts w:ascii="Arial" w:hAnsi="Arial" w:cs="Arial"/>
          <w:color w:val="000000"/>
          <w:shd w:val="clear" w:color="auto" w:fill="FFFFFF"/>
        </w:rPr>
        <w:t xml:space="preserve">TS </w:t>
      </w:r>
      <w:r w:rsidRPr="00F97B96">
        <w:rPr>
          <w:rFonts w:ascii="Arial" w:hAnsi="Arial" w:cs="Arial"/>
          <w:color w:val="000000"/>
          <w:shd w:val="clear" w:color="auto" w:fill="FFFFFF"/>
        </w:rPr>
        <w:t>24.229), OTA (</w:t>
      </w:r>
      <w:r w:rsidR="00F97B96">
        <w:rPr>
          <w:rFonts w:ascii="Arial" w:hAnsi="Arial" w:cs="Arial"/>
          <w:color w:val="000000"/>
          <w:shd w:val="clear" w:color="auto" w:fill="FFFFFF"/>
        </w:rPr>
        <w:t xml:space="preserve">TS </w:t>
      </w:r>
      <w:r w:rsidRPr="00F97B96">
        <w:rPr>
          <w:rFonts w:ascii="Arial" w:hAnsi="Arial" w:cs="Arial"/>
          <w:color w:val="000000"/>
          <w:shd w:val="clear" w:color="auto" w:fill="FFFFFF"/>
        </w:rPr>
        <w:t xml:space="preserve">24.229 and </w:t>
      </w:r>
      <w:r w:rsidR="00F97B96">
        <w:rPr>
          <w:rFonts w:ascii="Arial" w:hAnsi="Arial" w:cs="Arial"/>
          <w:color w:val="000000"/>
          <w:shd w:val="clear" w:color="auto" w:fill="FFFFFF"/>
        </w:rPr>
        <w:t xml:space="preserve">GSMA PRD </w:t>
      </w:r>
      <w:r w:rsidRPr="00F97B96">
        <w:rPr>
          <w:rFonts w:ascii="Arial" w:hAnsi="Arial" w:cs="Arial"/>
          <w:color w:val="000000"/>
          <w:shd w:val="clear" w:color="auto" w:fill="FFFFFF"/>
        </w:rPr>
        <w:t xml:space="preserve">NG.114), and possibly more (see </w:t>
      </w:r>
      <w:r w:rsidR="00F97B96">
        <w:rPr>
          <w:rFonts w:ascii="Arial" w:hAnsi="Arial" w:cs="Arial"/>
          <w:color w:val="000000"/>
          <w:shd w:val="clear" w:color="auto" w:fill="FFFFFF"/>
        </w:rPr>
        <w:t xml:space="preserve">GSMA PRD </w:t>
      </w:r>
      <w:r w:rsidRPr="00F97B96">
        <w:rPr>
          <w:rFonts w:ascii="Arial" w:hAnsi="Arial" w:cs="Arial"/>
          <w:color w:val="000000"/>
          <w:shd w:val="clear" w:color="auto" w:fill="FFFFFF"/>
        </w:rPr>
        <w:t>NG.114)</w:t>
      </w:r>
      <w:r w:rsidR="00BC6D4A">
        <w:rPr>
          <w:rFonts w:ascii="Arial" w:hAnsi="Arial" w:cs="Arial"/>
          <w:color w:val="000000"/>
          <w:shd w:val="clear" w:color="auto" w:fill="FFFFFF"/>
        </w:rPr>
        <w:t>. This is mostly or fully in the hand of operators.</w:t>
      </w:r>
    </w:p>
    <w:p w:rsidR="00082D26" w:rsidRDefault="00082D26" w:rsidP="00F97B96">
      <w:pPr>
        <w:ind w:left="720"/>
        <w:rPr>
          <w:rFonts w:ascii="Arial" w:hAnsi="Arial" w:cs="Arial"/>
          <w:color w:val="000000"/>
          <w:shd w:val="clear" w:color="auto" w:fill="FFFFFF"/>
        </w:rPr>
      </w:pPr>
      <w:r w:rsidRPr="00F97B96">
        <w:rPr>
          <w:rFonts w:ascii="Arial" w:hAnsi="Arial" w:cs="Arial"/>
          <w:color w:val="000000"/>
        </w:rPr>
        <w:br/>
      </w:r>
      <w:r w:rsidR="00F97B96">
        <w:rPr>
          <w:rFonts w:ascii="Arial" w:hAnsi="Arial" w:cs="Arial"/>
          <w:color w:val="000000"/>
          <w:shd w:val="clear" w:color="auto" w:fill="FFFFFF"/>
        </w:rPr>
        <w:t xml:space="preserve">Ad </w:t>
      </w:r>
      <w:r w:rsidRPr="00F97B96">
        <w:rPr>
          <w:rFonts w:ascii="Arial" w:hAnsi="Arial" w:cs="Arial"/>
          <w:color w:val="000000"/>
          <w:shd w:val="clear" w:color="auto" w:fill="FFFFFF"/>
        </w:rPr>
        <w:t>3</w:t>
      </w:r>
      <w:r w:rsidR="00F97B96">
        <w:rPr>
          <w:rFonts w:ascii="Arial" w:hAnsi="Arial" w:cs="Arial"/>
          <w:color w:val="000000"/>
          <w:shd w:val="clear" w:color="auto" w:fill="FFFFFF"/>
        </w:rPr>
        <w:t>)</w:t>
      </w:r>
      <w:r w:rsidRPr="00F97B96">
        <w:rPr>
          <w:rFonts w:ascii="Arial" w:hAnsi="Arial" w:cs="Arial"/>
          <w:color w:val="000000"/>
          <w:shd w:val="clear" w:color="auto" w:fill="FFFFFF"/>
        </w:rPr>
        <w:t xml:space="preserve"> </w:t>
      </w:r>
      <w:r w:rsidR="00F97B96">
        <w:rPr>
          <w:rFonts w:ascii="Arial" w:hAnsi="Arial" w:cs="Arial"/>
          <w:color w:val="000000"/>
          <w:shd w:val="clear" w:color="auto" w:fill="FFFFFF"/>
        </w:rPr>
        <w:t xml:space="preserve">GSMA PRD </w:t>
      </w:r>
      <w:r w:rsidRPr="00F97B96">
        <w:rPr>
          <w:rFonts w:ascii="Arial" w:hAnsi="Arial" w:cs="Arial"/>
          <w:color w:val="000000"/>
          <w:shd w:val="clear" w:color="auto" w:fill="FFFFFF"/>
        </w:rPr>
        <w:t>NG.114 says that the UE must support preconditions</w:t>
      </w:r>
      <w:r w:rsidR="00BC6D4A">
        <w:rPr>
          <w:rFonts w:ascii="Arial" w:hAnsi="Arial" w:cs="Arial"/>
          <w:color w:val="000000"/>
          <w:shd w:val="clear" w:color="auto" w:fill="FFFFFF"/>
        </w:rPr>
        <w:t>,</w:t>
      </w:r>
      <w:r w:rsidRPr="00F97B96">
        <w:rPr>
          <w:rFonts w:ascii="Arial" w:hAnsi="Arial" w:cs="Arial"/>
          <w:color w:val="000000"/>
          <w:shd w:val="clear" w:color="auto" w:fill="FFFFFF"/>
        </w:rPr>
        <w:t xml:space="preserve"> and </w:t>
      </w:r>
      <w:r w:rsidR="00C1322C">
        <w:rPr>
          <w:rFonts w:ascii="Arial" w:hAnsi="Arial" w:cs="Arial"/>
          <w:color w:val="000000"/>
          <w:shd w:val="clear" w:color="auto" w:fill="FFFFFF"/>
        </w:rPr>
        <w:t xml:space="preserve">actually </w:t>
      </w:r>
      <w:r w:rsidRPr="00F97B96">
        <w:rPr>
          <w:rFonts w:ascii="Arial" w:hAnsi="Arial" w:cs="Arial"/>
          <w:color w:val="000000"/>
          <w:shd w:val="clear" w:color="auto" w:fill="FFFFFF"/>
        </w:rPr>
        <w:t xml:space="preserve">use preconditions when they are enabled. </w:t>
      </w:r>
    </w:p>
    <w:p w:rsidR="00C1322C" w:rsidRDefault="00C1322C" w:rsidP="00F97B96">
      <w:pPr>
        <w:ind w:left="720"/>
        <w:rPr>
          <w:rFonts w:ascii="Arial" w:hAnsi="Arial" w:cs="Arial"/>
          <w:color w:val="000000"/>
          <w:shd w:val="clear" w:color="auto" w:fill="FFFFFF"/>
        </w:rPr>
      </w:pPr>
    </w:p>
    <w:p w:rsidR="00C1322C" w:rsidRPr="00F97B96" w:rsidRDefault="00C1322C" w:rsidP="00C1322C">
      <w:pPr>
        <w:rPr>
          <w:rFonts w:ascii="Arial" w:hAnsi="Arial" w:cs="Arial"/>
          <w:color w:val="000000"/>
          <w:shd w:val="clear" w:color="auto" w:fill="FFFFFF"/>
        </w:rPr>
      </w:pPr>
      <w:r>
        <w:rPr>
          <w:rFonts w:ascii="Arial" w:hAnsi="Arial" w:cs="Arial"/>
          <w:color w:val="000000"/>
          <w:shd w:val="clear" w:color="auto" w:fill="FFFFFF"/>
        </w:rPr>
        <w:t xml:space="preserve">Conclusion: if GSMA PRD NG.114 is the only relevant source for </w:t>
      </w:r>
      <w:r w:rsidR="004B11C0">
        <w:rPr>
          <w:rFonts w:ascii="Arial" w:hAnsi="Arial" w:cs="Arial"/>
          <w:color w:val="000000"/>
          <w:shd w:val="clear" w:color="auto" w:fill="FFFFFF"/>
        </w:rPr>
        <w:t>precondition usage</w:t>
      </w:r>
      <w:r>
        <w:rPr>
          <w:rFonts w:ascii="Arial" w:hAnsi="Arial" w:cs="Arial"/>
          <w:color w:val="000000"/>
          <w:shd w:val="clear" w:color="auto" w:fill="FFFFFF"/>
        </w:rPr>
        <w:t xml:space="preserve">, test case 7.3 should be voided. If the additional scenario depicted by TS 24.229 is </w:t>
      </w:r>
      <w:r w:rsidR="00BC6D4A">
        <w:rPr>
          <w:rFonts w:ascii="Arial" w:hAnsi="Arial" w:cs="Arial"/>
          <w:color w:val="000000"/>
          <w:shd w:val="clear" w:color="auto" w:fill="FFFFFF"/>
        </w:rPr>
        <w:t>worth test coverage</w:t>
      </w:r>
      <w:r w:rsidR="004B11C0">
        <w:rPr>
          <w:rFonts w:ascii="Arial" w:hAnsi="Arial" w:cs="Arial"/>
          <w:color w:val="000000"/>
          <w:shd w:val="clear" w:color="auto" w:fill="FFFFFF"/>
        </w:rPr>
        <w:t xml:space="preserve"> independent of GSMA PRD NG.114</w:t>
      </w:r>
      <w:bookmarkStart w:id="0" w:name="_GoBack"/>
      <w:bookmarkEnd w:id="0"/>
      <w:r w:rsidR="00BC6D4A">
        <w:rPr>
          <w:rFonts w:ascii="Arial" w:hAnsi="Arial" w:cs="Arial"/>
          <w:color w:val="000000"/>
          <w:shd w:val="clear" w:color="auto" w:fill="FFFFFF"/>
        </w:rPr>
        <w:t>, we should keep the test case.</w:t>
      </w:r>
    </w:p>
    <w:p w:rsidR="00082D26" w:rsidRDefault="00082D26" w:rsidP="00E40E6B">
      <w:pPr>
        <w:rPr>
          <w:rFonts w:ascii="Arial" w:hAnsi="Arial" w:cs="Arial"/>
          <w:lang w:val="en-US"/>
        </w:rPr>
      </w:pPr>
    </w:p>
    <w:p w:rsidR="00ED3543" w:rsidRDefault="007D673E" w:rsidP="00D53D73">
      <w:pPr>
        <w:pStyle w:val="Heading2"/>
      </w:pPr>
      <w:r>
        <w:t>3.</w:t>
      </w:r>
      <w:r>
        <w:tab/>
        <w:t>Proposal</w:t>
      </w:r>
      <w:r w:rsidR="001B436A">
        <w:t>s</w:t>
      </w:r>
    </w:p>
    <w:p w:rsidR="00046D29" w:rsidRPr="00464AF1" w:rsidRDefault="00BC6D4A" w:rsidP="00046D29">
      <w:pPr>
        <w:rPr>
          <w:rFonts w:ascii="Arial" w:hAnsi="Arial" w:cs="Arial"/>
          <w:lang w:val="en-US"/>
        </w:rPr>
      </w:pPr>
      <w:r>
        <w:rPr>
          <w:rFonts w:ascii="Arial" w:hAnsi="Arial" w:cs="Arial"/>
          <w:lang w:val="en-US"/>
        </w:rPr>
        <w:t>The author is not in a position to recommend one way or the other. Operators and UE vendors are asked to take the above into consideration and to provide their views</w:t>
      </w:r>
      <w:r w:rsidR="001705DB">
        <w:rPr>
          <w:rFonts w:ascii="Arial" w:hAnsi="Arial" w:cs="Arial"/>
          <w:lang w:val="en-US"/>
        </w:rPr>
        <w:t xml:space="preserve"> on keeping IMS over 5GS test case 7.3 or not.</w:t>
      </w:r>
    </w:p>
    <w:p w:rsidR="00046D29" w:rsidRPr="00046D29" w:rsidRDefault="00046D29" w:rsidP="00046D29">
      <w:pPr>
        <w:rPr>
          <w:lang w:val="en-US"/>
        </w:rPr>
      </w:pP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DF5" w:rsidRDefault="00680DF5">
      <w:r>
        <w:separator/>
      </w:r>
    </w:p>
  </w:endnote>
  <w:endnote w:type="continuationSeparator" w:id="0">
    <w:p w:rsidR="00680DF5" w:rsidRDefault="0068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DF5" w:rsidRDefault="00680DF5">
      <w:r>
        <w:separator/>
      </w:r>
    </w:p>
  </w:footnote>
  <w:footnote w:type="continuationSeparator" w:id="0">
    <w:p w:rsidR="00680DF5" w:rsidRDefault="00680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967093"/>
    <w:multiLevelType w:val="hybridMultilevel"/>
    <w:tmpl w:val="11346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52776"/>
    <w:rsid w:val="00052BF8"/>
    <w:rsid w:val="00052E7B"/>
    <w:rsid w:val="00057116"/>
    <w:rsid w:val="00060D30"/>
    <w:rsid w:val="000653B6"/>
    <w:rsid w:val="00065F42"/>
    <w:rsid w:val="00067741"/>
    <w:rsid w:val="00071695"/>
    <w:rsid w:val="00072E8A"/>
    <w:rsid w:val="000751B6"/>
    <w:rsid w:val="000776C0"/>
    <w:rsid w:val="00081817"/>
    <w:rsid w:val="0008274C"/>
    <w:rsid w:val="00082D26"/>
    <w:rsid w:val="00084FCC"/>
    <w:rsid w:val="0009283F"/>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E40F4"/>
    <w:rsid w:val="000E55AD"/>
    <w:rsid w:val="000E6B2A"/>
    <w:rsid w:val="000F5ED4"/>
    <w:rsid w:val="000F77AD"/>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05DB"/>
    <w:rsid w:val="0017762B"/>
    <w:rsid w:val="0018486A"/>
    <w:rsid w:val="00184B5E"/>
    <w:rsid w:val="00186397"/>
    <w:rsid w:val="00187457"/>
    <w:rsid w:val="00190A65"/>
    <w:rsid w:val="001946FA"/>
    <w:rsid w:val="001976F2"/>
    <w:rsid w:val="001A12A5"/>
    <w:rsid w:val="001A2A26"/>
    <w:rsid w:val="001A7823"/>
    <w:rsid w:val="001B436A"/>
    <w:rsid w:val="001C13E3"/>
    <w:rsid w:val="001C1A3C"/>
    <w:rsid w:val="001C1EF8"/>
    <w:rsid w:val="001C3250"/>
    <w:rsid w:val="001C5C86"/>
    <w:rsid w:val="001C7501"/>
    <w:rsid w:val="001D0524"/>
    <w:rsid w:val="001D0F0E"/>
    <w:rsid w:val="001D20F9"/>
    <w:rsid w:val="001E2F67"/>
    <w:rsid w:val="001E3752"/>
    <w:rsid w:val="001E5078"/>
    <w:rsid w:val="001F056A"/>
    <w:rsid w:val="001F254F"/>
    <w:rsid w:val="001F53BC"/>
    <w:rsid w:val="002000C2"/>
    <w:rsid w:val="00203E74"/>
    <w:rsid w:val="002204BB"/>
    <w:rsid w:val="00220EA4"/>
    <w:rsid w:val="0022131D"/>
    <w:rsid w:val="00230F71"/>
    <w:rsid w:val="00232FBE"/>
    <w:rsid w:val="00233AC3"/>
    <w:rsid w:val="00234659"/>
    <w:rsid w:val="00240D06"/>
    <w:rsid w:val="00243844"/>
    <w:rsid w:val="002441EC"/>
    <w:rsid w:val="0024786B"/>
    <w:rsid w:val="002501FC"/>
    <w:rsid w:val="00260156"/>
    <w:rsid w:val="00263DDE"/>
    <w:rsid w:val="00264082"/>
    <w:rsid w:val="00265E05"/>
    <w:rsid w:val="002673B8"/>
    <w:rsid w:val="00267D5D"/>
    <w:rsid w:val="0027422E"/>
    <w:rsid w:val="0028440B"/>
    <w:rsid w:val="0028579E"/>
    <w:rsid w:val="00293860"/>
    <w:rsid w:val="0029529B"/>
    <w:rsid w:val="00297AE2"/>
    <w:rsid w:val="002A067F"/>
    <w:rsid w:val="002A1117"/>
    <w:rsid w:val="002A2E3D"/>
    <w:rsid w:val="002A2FC5"/>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205AD"/>
    <w:rsid w:val="0032081C"/>
    <w:rsid w:val="00322E57"/>
    <w:rsid w:val="0032747D"/>
    <w:rsid w:val="00331D59"/>
    <w:rsid w:val="00335FB2"/>
    <w:rsid w:val="003360AB"/>
    <w:rsid w:val="003376ED"/>
    <w:rsid w:val="00340590"/>
    <w:rsid w:val="0034095D"/>
    <w:rsid w:val="00344158"/>
    <w:rsid w:val="00345470"/>
    <w:rsid w:val="003518AA"/>
    <w:rsid w:val="00360F89"/>
    <w:rsid w:val="00370171"/>
    <w:rsid w:val="003730B6"/>
    <w:rsid w:val="00375D96"/>
    <w:rsid w:val="003851A1"/>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3944"/>
    <w:rsid w:val="00403C3A"/>
    <w:rsid w:val="004143B8"/>
    <w:rsid w:val="00414938"/>
    <w:rsid w:val="0043110D"/>
    <w:rsid w:val="00431900"/>
    <w:rsid w:val="00432498"/>
    <w:rsid w:val="00433758"/>
    <w:rsid w:val="00436954"/>
    <w:rsid w:val="0043745F"/>
    <w:rsid w:val="004377F8"/>
    <w:rsid w:val="0044029F"/>
    <w:rsid w:val="00441CA2"/>
    <w:rsid w:val="00445AC8"/>
    <w:rsid w:val="0045068B"/>
    <w:rsid w:val="004537E0"/>
    <w:rsid w:val="00454391"/>
    <w:rsid w:val="0045475F"/>
    <w:rsid w:val="00463F66"/>
    <w:rsid w:val="00464AF1"/>
    <w:rsid w:val="00467D4A"/>
    <w:rsid w:val="004775B1"/>
    <w:rsid w:val="00481EBB"/>
    <w:rsid w:val="0048267C"/>
    <w:rsid w:val="00482755"/>
    <w:rsid w:val="00483C62"/>
    <w:rsid w:val="00486BA1"/>
    <w:rsid w:val="004876B9"/>
    <w:rsid w:val="004922D6"/>
    <w:rsid w:val="00492D65"/>
    <w:rsid w:val="00493A79"/>
    <w:rsid w:val="004969F2"/>
    <w:rsid w:val="004A27E9"/>
    <w:rsid w:val="004A5E5F"/>
    <w:rsid w:val="004A6A60"/>
    <w:rsid w:val="004B11C0"/>
    <w:rsid w:val="004B3330"/>
    <w:rsid w:val="004B3C96"/>
    <w:rsid w:val="004B74A3"/>
    <w:rsid w:val="004C5B58"/>
    <w:rsid w:val="004C6926"/>
    <w:rsid w:val="004C7921"/>
    <w:rsid w:val="004D353F"/>
    <w:rsid w:val="004D39BF"/>
    <w:rsid w:val="004D52D1"/>
    <w:rsid w:val="004E08C0"/>
    <w:rsid w:val="004E322B"/>
    <w:rsid w:val="004E3261"/>
    <w:rsid w:val="004E4BAD"/>
    <w:rsid w:val="004E5FCE"/>
    <w:rsid w:val="004E684D"/>
    <w:rsid w:val="004E6F8A"/>
    <w:rsid w:val="004F7651"/>
    <w:rsid w:val="00505E21"/>
    <w:rsid w:val="00513D6F"/>
    <w:rsid w:val="00514712"/>
    <w:rsid w:val="005151ED"/>
    <w:rsid w:val="0051617A"/>
    <w:rsid w:val="00517E5C"/>
    <w:rsid w:val="00520A0E"/>
    <w:rsid w:val="00526726"/>
    <w:rsid w:val="005270C1"/>
    <w:rsid w:val="0053491D"/>
    <w:rsid w:val="0053786C"/>
    <w:rsid w:val="00543D44"/>
    <w:rsid w:val="00547E1E"/>
    <w:rsid w:val="0055048A"/>
    <w:rsid w:val="005513E0"/>
    <w:rsid w:val="005535C8"/>
    <w:rsid w:val="00554D2C"/>
    <w:rsid w:val="005567B0"/>
    <w:rsid w:val="005573AC"/>
    <w:rsid w:val="005573BB"/>
    <w:rsid w:val="00557B2E"/>
    <w:rsid w:val="00561267"/>
    <w:rsid w:val="0056347C"/>
    <w:rsid w:val="00566A3D"/>
    <w:rsid w:val="00570C55"/>
    <w:rsid w:val="005710EB"/>
    <w:rsid w:val="00571F21"/>
    <w:rsid w:val="005726BA"/>
    <w:rsid w:val="00582E97"/>
    <w:rsid w:val="00583B54"/>
    <w:rsid w:val="005875D6"/>
    <w:rsid w:val="00590087"/>
    <w:rsid w:val="00597C33"/>
    <w:rsid w:val="005A4E0E"/>
    <w:rsid w:val="005A6945"/>
    <w:rsid w:val="005B1E5A"/>
    <w:rsid w:val="005B290F"/>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4038A"/>
    <w:rsid w:val="006418C6"/>
    <w:rsid w:val="00641E84"/>
    <w:rsid w:val="00643092"/>
    <w:rsid w:val="00645449"/>
    <w:rsid w:val="00650F9A"/>
    <w:rsid w:val="006515C6"/>
    <w:rsid w:val="00651EDC"/>
    <w:rsid w:val="00654893"/>
    <w:rsid w:val="00657553"/>
    <w:rsid w:val="006577D3"/>
    <w:rsid w:val="006601CA"/>
    <w:rsid w:val="00664221"/>
    <w:rsid w:val="006678EB"/>
    <w:rsid w:val="00671BBB"/>
    <w:rsid w:val="006762C4"/>
    <w:rsid w:val="006804D9"/>
    <w:rsid w:val="00680536"/>
    <w:rsid w:val="00680DF5"/>
    <w:rsid w:val="00682237"/>
    <w:rsid w:val="006825C3"/>
    <w:rsid w:val="00682819"/>
    <w:rsid w:val="00686350"/>
    <w:rsid w:val="00692E22"/>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E1AEA"/>
    <w:rsid w:val="006F0585"/>
    <w:rsid w:val="006F068F"/>
    <w:rsid w:val="006F2AE1"/>
    <w:rsid w:val="006F3ADF"/>
    <w:rsid w:val="006F401E"/>
    <w:rsid w:val="00707559"/>
    <w:rsid w:val="00707673"/>
    <w:rsid w:val="00711A19"/>
    <w:rsid w:val="00713B18"/>
    <w:rsid w:val="007230EC"/>
    <w:rsid w:val="00723E76"/>
    <w:rsid w:val="007278A1"/>
    <w:rsid w:val="00733146"/>
    <w:rsid w:val="00733582"/>
    <w:rsid w:val="00734382"/>
    <w:rsid w:val="00734A35"/>
    <w:rsid w:val="00740762"/>
    <w:rsid w:val="0074496B"/>
    <w:rsid w:val="00747273"/>
    <w:rsid w:val="0075252A"/>
    <w:rsid w:val="00764B84"/>
    <w:rsid w:val="00766DC0"/>
    <w:rsid w:val="00770E52"/>
    <w:rsid w:val="00775222"/>
    <w:rsid w:val="00777629"/>
    <w:rsid w:val="0078034D"/>
    <w:rsid w:val="00785A71"/>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3B25"/>
    <w:rsid w:val="007F4A3B"/>
    <w:rsid w:val="007F7421"/>
    <w:rsid w:val="008064BF"/>
    <w:rsid w:val="008107B1"/>
    <w:rsid w:val="00840898"/>
    <w:rsid w:val="00843CCA"/>
    <w:rsid w:val="0084450B"/>
    <w:rsid w:val="00845F90"/>
    <w:rsid w:val="00846F22"/>
    <w:rsid w:val="00846FCD"/>
    <w:rsid w:val="00847095"/>
    <w:rsid w:val="00847B82"/>
    <w:rsid w:val="00853A06"/>
    <w:rsid w:val="00854670"/>
    <w:rsid w:val="0085571C"/>
    <w:rsid w:val="00855B12"/>
    <w:rsid w:val="00857E34"/>
    <w:rsid w:val="008612E6"/>
    <w:rsid w:val="00866FB5"/>
    <w:rsid w:val="008700E7"/>
    <w:rsid w:val="0087268C"/>
    <w:rsid w:val="00880F62"/>
    <w:rsid w:val="00881E57"/>
    <w:rsid w:val="0088222A"/>
    <w:rsid w:val="00890F96"/>
    <w:rsid w:val="00891B65"/>
    <w:rsid w:val="00891C8A"/>
    <w:rsid w:val="008A15C2"/>
    <w:rsid w:val="008A3298"/>
    <w:rsid w:val="008A76FD"/>
    <w:rsid w:val="008A7BE2"/>
    <w:rsid w:val="008B02F6"/>
    <w:rsid w:val="008B1E30"/>
    <w:rsid w:val="008B2D09"/>
    <w:rsid w:val="008B4A52"/>
    <w:rsid w:val="008B7080"/>
    <w:rsid w:val="008C537F"/>
    <w:rsid w:val="008C6792"/>
    <w:rsid w:val="008D528E"/>
    <w:rsid w:val="008D55A1"/>
    <w:rsid w:val="008D64A7"/>
    <w:rsid w:val="008D658B"/>
    <w:rsid w:val="008E3E0C"/>
    <w:rsid w:val="008E5BF6"/>
    <w:rsid w:val="008F418F"/>
    <w:rsid w:val="00905C89"/>
    <w:rsid w:val="00907032"/>
    <w:rsid w:val="00913566"/>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42E"/>
    <w:rsid w:val="00985B73"/>
    <w:rsid w:val="00986D94"/>
    <w:rsid w:val="009870A7"/>
    <w:rsid w:val="00987465"/>
    <w:rsid w:val="009A12B7"/>
    <w:rsid w:val="009A3BC4"/>
    <w:rsid w:val="009B13A4"/>
    <w:rsid w:val="009B1936"/>
    <w:rsid w:val="009B2C04"/>
    <w:rsid w:val="009B3635"/>
    <w:rsid w:val="009C1BFA"/>
    <w:rsid w:val="009C61B1"/>
    <w:rsid w:val="009C64A4"/>
    <w:rsid w:val="009C6EBC"/>
    <w:rsid w:val="009D10C5"/>
    <w:rsid w:val="009F1D2B"/>
    <w:rsid w:val="009F448C"/>
    <w:rsid w:val="009F5347"/>
    <w:rsid w:val="00A03054"/>
    <w:rsid w:val="00A07D2D"/>
    <w:rsid w:val="00A10539"/>
    <w:rsid w:val="00A12D26"/>
    <w:rsid w:val="00A14C34"/>
    <w:rsid w:val="00A14D5E"/>
    <w:rsid w:val="00A150B6"/>
    <w:rsid w:val="00A15763"/>
    <w:rsid w:val="00A17CA3"/>
    <w:rsid w:val="00A21A3E"/>
    <w:rsid w:val="00A21C70"/>
    <w:rsid w:val="00A25DD3"/>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3C7E"/>
    <w:rsid w:val="00A94796"/>
    <w:rsid w:val="00AA30FC"/>
    <w:rsid w:val="00AB058A"/>
    <w:rsid w:val="00AB09A3"/>
    <w:rsid w:val="00AC0945"/>
    <w:rsid w:val="00AC295C"/>
    <w:rsid w:val="00AC74A2"/>
    <w:rsid w:val="00AD4C96"/>
    <w:rsid w:val="00AD5062"/>
    <w:rsid w:val="00AD6738"/>
    <w:rsid w:val="00AE25BF"/>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A088E"/>
    <w:rsid w:val="00BA0F67"/>
    <w:rsid w:val="00BA1815"/>
    <w:rsid w:val="00BA3A53"/>
    <w:rsid w:val="00BA4095"/>
    <w:rsid w:val="00BA4A35"/>
    <w:rsid w:val="00BA5B43"/>
    <w:rsid w:val="00BA6E3A"/>
    <w:rsid w:val="00BB0602"/>
    <w:rsid w:val="00BB14DE"/>
    <w:rsid w:val="00BB45A0"/>
    <w:rsid w:val="00BB6998"/>
    <w:rsid w:val="00BB7DFE"/>
    <w:rsid w:val="00BC0774"/>
    <w:rsid w:val="00BC5360"/>
    <w:rsid w:val="00BC597A"/>
    <w:rsid w:val="00BC642A"/>
    <w:rsid w:val="00BC6D4A"/>
    <w:rsid w:val="00BE0D3B"/>
    <w:rsid w:val="00BE17A4"/>
    <w:rsid w:val="00BE1B14"/>
    <w:rsid w:val="00BE3481"/>
    <w:rsid w:val="00BE350D"/>
    <w:rsid w:val="00BE65EE"/>
    <w:rsid w:val="00BF1686"/>
    <w:rsid w:val="00BF24C5"/>
    <w:rsid w:val="00C02DFB"/>
    <w:rsid w:val="00C059CF"/>
    <w:rsid w:val="00C06014"/>
    <w:rsid w:val="00C0712E"/>
    <w:rsid w:val="00C10682"/>
    <w:rsid w:val="00C1322C"/>
    <w:rsid w:val="00C13490"/>
    <w:rsid w:val="00C14D91"/>
    <w:rsid w:val="00C1576E"/>
    <w:rsid w:val="00C1647B"/>
    <w:rsid w:val="00C20D78"/>
    <w:rsid w:val="00C22D37"/>
    <w:rsid w:val="00C23D22"/>
    <w:rsid w:val="00C240F3"/>
    <w:rsid w:val="00C32C37"/>
    <w:rsid w:val="00C3352F"/>
    <w:rsid w:val="00C33E8C"/>
    <w:rsid w:val="00C34AB1"/>
    <w:rsid w:val="00C35A13"/>
    <w:rsid w:val="00C35ED7"/>
    <w:rsid w:val="00C37F71"/>
    <w:rsid w:val="00C41F14"/>
    <w:rsid w:val="00C43D1E"/>
    <w:rsid w:val="00C50F7C"/>
    <w:rsid w:val="00C53CBC"/>
    <w:rsid w:val="00C57C50"/>
    <w:rsid w:val="00C65BAE"/>
    <w:rsid w:val="00C65EF6"/>
    <w:rsid w:val="00C70337"/>
    <w:rsid w:val="00C715CA"/>
    <w:rsid w:val="00C83AA6"/>
    <w:rsid w:val="00C90F39"/>
    <w:rsid w:val="00C94A65"/>
    <w:rsid w:val="00C96D2D"/>
    <w:rsid w:val="00C974C2"/>
    <w:rsid w:val="00CA0A2B"/>
    <w:rsid w:val="00CA17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2458D"/>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7416"/>
    <w:rsid w:val="00D80165"/>
    <w:rsid w:val="00D845C1"/>
    <w:rsid w:val="00D95D9A"/>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5324B"/>
    <w:rsid w:val="00E56EE6"/>
    <w:rsid w:val="00E56FF7"/>
    <w:rsid w:val="00E577AC"/>
    <w:rsid w:val="00E60E69"/>
    <w:rsid w:val="00E61FBA"/>
    <w:rsid w:val="00E63C6C"/>
    <w:rsid w:val="00E700DF"/>
    <w:rsid w:val="00E71D00"/>
    <w:rsid w:val="00E7734D"/>
    <w:rsid w:val="00E7789C"/>
    <w:rsid w:val="00E81A87"/>
    <w:rsid w:val="00E85BCB"/>
    <w:rsid w:val="00E86A23"/>
    <w:rsid w:val="00E86E96"/>
    <w:rsid w:val="00E87C91"/>
    <w:rsid w:val="00E902B8"/>
    <w:rsid w:val="00E90B85"/>
    <w:rsid w:val="00E9156D"/>
    <w:rsid w:val="00E96AEC"/>
    <w:rsid w:val="00E97311"/>
    <w:rsid w:val="00EA35ED"/>
    <w:rsid w:val="00EB06D6"/>
    <w:rsid w:val="00EB1AA4"/>
    <w:rsid w:val="00EB2B3A"/>
    <w:rsid w:val="00EB2DED"/>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122E"/>
    <w:rsid w:val="00EE1AB4"/>
    <w:rsid w:val="00EE5D60"/>
    <w:rsid w:val="00EF17D4"/>
    <w:rsid w:val="00EF36F4"/>
    <w:rsid w:val="00EF6847"/>
    <w:rsid w:val="00EF6F3E"/>
    <w:rsid w:val="00F02E60"/>
    <w:rsid w:val="00F124BB"/>
    <w:rsid w:val="00F13FC0"/>
    <w:rsid w:val="00F1574F"/>
    <w:rsid w:val="00F15EFF"/>
    <w:rsid w:val="00F17574"/>
    <w:rsid w:val="00F1788D"/>
    <w:rsid w:val="00F23B29"/>
    <w:rsid w:val="00F23BC4"/>
    <w:rsid w:val="00F32AD8"/>
    <w:rsid w:val="00F34B10"/>
    <w:rsid w:val="00F37F43"/>
    <w:rsid w:val="00F41A27"/>
    <w:rsid w:val="00F42C61"/>
    <w:rsid w:val="00F4338D"/>
    <w:rsid w:val="00F43E7D"/>
    <w:rsid w:val="00F440D3"/>
    <w:rsid w:val="00F45735"/>
    <w:rsid w:val="00F463B8"/>
    <w:rsid w:val="00F46A85"/>
    <w:rsid w:val="00F50C2A"/>
    <w:rsid w:val="00F55359"/>
    <w:rsid w:val="00F62A0A"/>
    <w:rsid w:val="00F70241"/>
    <w:rsid w:val="00F7336C"/>
    <w:rsid w:val="00F75847"/>
    <w:rsid w:val="00F82C97"/>
    <w:rsid w:val="00F8306B"/>
    <w:rsid w:val="00F8549B"/>
    <w:rsid w:val="00F862E0"/>
    <w:rsid w:val="00F8653C"/>
    <w:rsid w:val="00F870B2"/>
    <w:rsid w:val="00F912FF"/>
    <w:rsid w:val="00F921F1"/>
    <w:rsid w:val="00F93709"/>
    <w:rsid w:val="00F97B62"/>
    <w:rsid w:val="00F97B96"/>
    <w:rsid w:val="00FA2A05"/>
    <w:rsid w:val="00FA351B"/>
    <w:rsid w:val="00FB14F2"/>
    <w:rsid w:val="00FB164B"/>
    <w:rsid w:val="00FC0804"/>
    <w:rsid w:val="00FC3B6D"/>
    <w:rsid w:val="00FC688D"/>
    <w:rsid w:val="00FD2E73"/>
    <w:rsid w:val="00FD35E3"/>
    <w:rsid w:val="00FD3A4E"/>
    <w:rsid w:val="00FD5C7F"/>
    <w:rsid w:val="00FE025E"/>
    <w:rsid w:val="00FE4323"/>
    <w:rsid w:val="00FE4C2F"/>
    <w:rsid w:val="00FE6E99"/>
    <w:rsid w:val="00FF2F10"/>
    <w:rsid w:val="00FF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53272"/>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2C15"/>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semiHidden/>
    <w:rsid w:val="00DB30F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B30F8"/>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rsid w:val="00DB30F8"/>
  </w:style>
  <w:style w:type="paragraph" w:customStyle="1" w:styleId="B2">
    <w:name w:val="B2"/>
    <w:basedOn w:val="List2"/>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0786087">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435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Rohde &amp; Schwarz</cp:lastModifiedBy>
  <cp:revision>3</cp:revision>
  <cp:lastPrinted>2018-10-25T10:30:00Z</cp:lastPrinted>
  <dcterms:created xsi:type="dcterms:W3CDTF">2021-02-02T10:25:00Z</dcterms:created>
  <dcterms:modified xsi:type="dcterms:W3CDTF">2021-02-02T10:27:00Z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